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7"/>
          <w:szCs w:val="27"/>
        </w:rPr>
      </w:pP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Joseph J. Simons, Chair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7"/>
          <w:szCs w:val="27"/>
        </w:rPr>
      </w:pP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Federal Trade Commission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7"/>
          <w:szCs w:val="27"/>
        </w:rPr>
      </w:pP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600 Pennsylvania Ave NW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sz w:val="27"/>
          <w:szCs w:val="27"/>
        </w:rPr>
      </w:pP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Washington, D.C. 20580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0" w:firstLine="0"/>
        <w:jc w:val="left"/>
        <w:rPr>
          <w:rFonts w:ascii="Helvetica Neue" w:cs="Helvetica Neue" w:eastAsia="Helvetica Neue" w:hAnsi="Helvetica Neue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80" w:lineRule="auto"/>
        <w:ind w:left="0" w:right="0" w:firstLine="0"/>
        <w:jc w:val="right"/>
        <w:rPr>
          <w:rFonts w:ascii="Helvetica Neue" w:cs="Helvetica Neue" w:eastAsia="Helvetica Neue" w:hAnsi="Helvetica Neue"/>
          <w:sz w:val="27"/>
          <w:szCs w:val="27"/>
        </w:rPr>
      </w:pP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April 2,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7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Dear Mr.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Simons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7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strongly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urge the Federal Trade Commission to update the Funeral Rule - written in 1984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 - that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id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not require funeral homes to post their prices online.  In the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digital age, t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his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omission is no longer appropr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iate.  Worse, it continues to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force stressed consumers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during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grief,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confusion, and time constraints to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shop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literally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door-to-door to acquire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price information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from  funeral providers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.  Thi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s lack of pricing transparency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facilitates price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manipulation, represen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ts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an un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due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burden to cons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umers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in the digital age, and is particularly inappropriate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during a global pandemic.  An updated Funeral Rule that requires online pricing would enable anyone in the general public to get this essential information and get it immediately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7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Consumers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must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be able to compare prices for cremation and burial services by visiting the websites of local funeral homes, and viewing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clearly-stated prices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on a General Price List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that contains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no hidden fees.  Absent this rule,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l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ocal affiliates of the Funeral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Consumer Alliance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(FCA)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such as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People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’s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Memorial Association dedicate 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sz w:val="27"/>
          <w:szCs w:val="27"/>
          <w:u w:val="single"/>
          <w:shd w:fill="auto" w:val="clear"/>
          <w:vertAlign w:val="baseline"/>
          <w:rtl w:val="0"/>
        </w:rPr>
        <w:t xml:space="preserve">months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to collecting this information from General Price Lists for cost-comparison surveys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for its individual communities and consumer members t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o make informed decisions.  Again, an updated Funeral Rule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that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requires online pricing would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 enable </w:t>
      </w:r>
      <w:r w:rsidDel="00000000" w:rsidR="00000000" w:rsidRPr="00000000">
        <w:rPr>
          <w:rFonts w:ascii="Helvetica Neue" w:cs="Helvetica Neue" w:eastAsia="Helvetica Neue" w:hAnsi="Helvetica Neue"/>
          <w:i w:val="1"/>
          <w:sz w:val="27"/>
          <w:szCs w:val="27"/>
          <w:u w:val="single"/>
          <w:rtl w:val="0"/>
        </w:rPr>
        <w:t xml:space="preserve">anyone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to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get this essential information and get it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immediately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- not just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FCA Alliance members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7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Further, an updated Funeral Rule must include c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emeteries and require them to also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have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General Price Lists.  Currently, the Funeral Rule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neither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regulat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es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cemeteries nor requires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 them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 to list prices in writing.  This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deficiency poses unconscionable burden to consumers by making their decisions unnecessarily difficult and enabling unscrupulous operators to manipulate 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them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7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Updating the Funeral Rule to require both funeral homes and cemeteries to post their pricing online will provide much</w:t>
      </w: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-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needed transparency to consumers in their time of greatest need.  I urge the FTC to implement these changes.  After 36 years, it is time.  Thank you.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276" w:lineRule="auto"/>
        <w:ind w:left="0" w:right="0" w:firstLine="72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  <w:rtl w:val="0"/>
        </w:rPr>
        <w:t xml:space="preserve">Sincerely,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276" w:lineRule="auto"/>
        <w:ind w:left="0" w:right="0" w:firstLine="720"/>
        <w:jc w:val="left"/>
        <w:rPr>
          <w:rFonts w:ascii="Helvetica Neue" w:cs="Helvetica Neue" w:eastAsia="Helvetica Neue" w:hAnsi="Helvetica Neue"/>
          <w:sz w:val="27"/>
          <w:szCs w:val="27"/>
        </w:rPr>
      </w:pPr>
      <w:r w:rsidDel="00000000" w:rsidR="00000000" w:rsidRPr="00000000">
        <w:rPr>
          <w:rFonts w:ascii="Helvetica Neue" w:cs="Helvetica Neue" w:eastAsia="Helvetica Neue" w:hAnsi="Helvetica Neue"/>
          <w:sz w:val="27"/>
          <w:szCs w:val="27"/>
          <w:rtl w:val="0"/>
        </w:rPr>
        <w:t xml:space="preserve">People’s Memorial Association Board of Directors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276" w:lineRule="auto"/>
        <w:ind w:left="0" w:right="0" w:firstLine="720"/>
        <w:jc w:val="left"/>
        <w:rPr>
          <w:rFonts w:ascii="Helvetica Neue" w:cs="Helvetica Neue" w:eastAsia="Helvetica Neue" w:hAnsi="Helvetica Neue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276" w:lineRule="auto"/>
        <w:ind w:left="0" w:right="0" w:firstLine="0"/>
        <w:jc w:val="left"/>
        <w:rPr>
          <w:rFonts w:ascii="Helvetica Neue" w:cs="Helvetica Neue" w:eastAsia="Helvetica Neue" w:hAnsi="Helvetica Neue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28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70" w:before="0" w:line="276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