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Joseph J. Simons, Chair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Federal Trade Commission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600 Pennsylvania Ave NW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Washington, D.C. 20580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480" w:lineRule="auto"/>
        <w:ind w:left="0" w:right="0" w:firstLine="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480" w:lineRule="auto"/>
        <w:ind w:left="0" w:right="0" w:firstLine="0"/>
        <w:jc w:val="righ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April 2,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Dear Mr.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Simons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strongly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urge the Federal Trade Commission to update the Funeral Rule - written in 1984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 - that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id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not require funeral homes to post their prices online.  In the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digital age, 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his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omission is no longer appropr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iate.  Worse, it continues to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force stressed consumers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during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grief,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confusion, and time constraints to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shop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literally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door-to-door to acquire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price information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from  funeral providers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.  Thi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s lack of pricing transparency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facilitates price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manipulation, represen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ts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an un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due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burden to cons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umers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in the digital age, and is particularly inappropriate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during a global pandemic.  An updated Funeral Rule that requires online pricing would enable anyone in the general public to get this essential information and get it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Consumers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must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be able to compare prices for cremation and burial services by visiting the websites of local funeral homes, and viewing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clearly-stated prices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on a General Price List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that contains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no hidden fees.  Absent this rule,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ocal affiliates of the Funeral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Consumer Alliance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(FCA)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such as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People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’s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Memorial Association dedicate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sz w:val="27"/>
          <w:szCs w:val="27"/>
          <w:u w:val="single"/>
          <w:shd w:fill="auto" w:val="clear"/>
          <w:vertAlign w:val="baseline"/>
          <w:rtl w:val="0"/>
        </w:rPr>
        <w:t xml:space="preserve">months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to collecting this information from General Price Lists for cost-comparison surveys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for its individual communities and consumer members 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o make informed decisions.  Again, an updated Funeral Rule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that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requires online pricing would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 enable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7"/>
          <w:szCs w:val="27"/>
          <w:u w:val="single"/>
          <w:rtl w:val="0"/>
        </w:rPr>
        <w:t xml:space="preserve">anyone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to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get this essential information and get it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immediately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- not just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FCA Alliance members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Further, an updated Funeral Rule must include c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emeteries and require them to also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have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General Price Lists.  Currently, the Funeral Rule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neither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regulat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es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cemeteries nor requires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 them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to list prices in writing.  This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deficiency poses unconscionable burden to consumers by making their decisions unnecessarily difficult and enabling unscrupulous operators to manipulate 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them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Updating the Funeral Rule to require both funeral homes and cemeteries to post their pricing online will provide much</w:t>
      </w: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needed transparency to consumers in their time of greatest need.  I urge the FTC to implement these changes.  After 36 years, it is time.  Thank you.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72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72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People’s Memorial Association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72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left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